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B079" w14:textId="6C2D803F" w:rsidR="007B26F0" w:rsidRDefault="007B26F0">
      <w:r>
        <w:rPr>
          <w:rFonts w:ascii="DM Sans" w:hAnsi="DM Sans"/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765C9641" wp14:editId="289DD36B">
            <wp:simplePos x="0" y="0"/>
            <wp:positionH relativeFrom="page">
              <wp:align>center</wp:align>
            </wp:positionH>
            <wp:positionV relativeFrom="page">
              <wp:posOffset>94615</wp:posOffset>
            </wp:positionV>
            <wp:extent cx="1028700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A593B" w14:textId="72016057" w:rsidR="007B26F0" w:rsidRDefault="007B26F0">
      <w:r>
        <w:rPr>
          <w:noProof/>
        </w:rPr>
        <w:drawing>
          <wp:anchor distT="0" distB="0" distL="114300" distR="114300" simplePos="0" relativeHeight="251660288" behindDoc="0" locked="0" layoutInCell="1" allowOverlap="1" wp14:anchorId="058F5997" wp14:editId="772A0065">
            <wp:simplePos x="0" y="0"/>
            <wp:positionH relativeFrom="page">
              <wp:align>center</wp:align>
            </wp:positionH>
            <wp:positionV relativeFrom="paragraph">
              <wp:posOffset>160020</wp:posOffset>
            </wp:positionV>
            <wp:extent cx="3939540" cy="2519162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51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17C36D" w14:textId="31FB4BB0" w:rsidR="007B26F0" w:rsidRDefault="007B26F0"/>
    <w:p w14:paraId="100999A3" w14:textId="77777777" w:rsidR="007B26F0" w:rsidRDefault="007B26F0"/>
    <w:p w14:paraId="4E667E88" w14:textId="6BAA5ED7" w:rsidR="007B26F0" w:rsidRDefault="007B26F0"/>
    <w:p w14:paraId="23E79757" w14:textId="77777777" w:rsidR="007B26F0" w:rsidRDefault="007B26F0"/>
    <w:p w14:paraId="1D1DE8E5" w14:textId="5C17B7DE" w:rsidR="007B26F0" w:rsidRDefault="007B26F0"/>
    <w:p w14:paraId="7F11A83A" w14:textId="77777777" w:rsidR="007B26F0" w:rsidRDefault="007B26F0"/>
    <w:p w14:paraId="5242CBA8" w14:textId="77777777" w:rsidR="007B26F0" w:rsidRDefault="007B26F0"/>
    <w:p w14:paraId="7C23C049" w14:textId="77777777" w:rsidR="007B26F0" w:rsidRDefault="007B26F0"/>
    <w:p w14:paraId="1EED4821" w14:textId="772A0E5B" w:rsidR="007B26F0" w:rsidRDefault="007B26F0"/>
    <w:p w14:paraId="2AB39320" w14:textId="6ED7E9B4" w:rsidR="007B26F0" w:rsidRPr="007B26F0" w:rsidRDefault="007B26F0" w:rsidP="007B26F0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1F223E"/>
          <w:sz w:val="45"/>
          <w:szCs w:val="45"/>
          <w:lang w:val="pl-PL" w:eastAsia="ru-RU"/>
        </w:rPr>
      </w:pPr>
      <w:r w:rsidRPr="007B26F0">
        <w:rPr>
          <w:rFonts w:ascii="Montserrat" w:eastAsia="Times New Roman" w:hAnsi="Montserrat" w:cs="Times New Roman"/>
          <w:b/>
          <w:bCs/>
          <w:color w:val="1F223E"/>
          <w:sz w:val="45"/>
          <w:szCs w:val="45"/>
          <w:lang w:val="pl-PL" w:eastAsia="ru-RU"/>
        </w:rPr>
        <w:t>Udziały w nieruchomości, a kredyt hipoteczny</w:t>
      </w:r>
    </w:p>
    <w:p w14:paraId="462001D3" w14:textId="34DC94D4" w:rsidR="007B26F0" w:rsidRPr="007B26F0" w:rsidRDefault="007B26F0" w:rsidP="007B26F0">
      <w:pPr>
        <w:spacing w:line="360" w:lineRule="atLeast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19 Marca, 2018r.</w:t>
      </w:r>
    </w:p>
    <w:p w14:paraId="54F2D544" w14:textId="0741A984" w:rsidR="007B26F0" w:rsidRPr="007B26F0" w:rsidRDefault="007B26F0" w:rsidP="007B26F0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Nabywając nieruchomość w drodze dziedziczenia ustawowego, z reguły jest tak, że spadkobierców jest więcej. Wraz ze śmiercią spadkodawcy to oni wstępują w jego prawa i obowiązki, co oznacza, że stają się właścicielami majątku zmarłego.</w:t>
      </w:r>
    </w:p>
    <w:p w14:paraId="02EC74D6" w14:textId="01EBB76E" w:rsidR="007B26F0" w:rsidRPr="007B26F0" w:rsidRDefault="007B26F0" w:rsidP="007B26F0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Pomiędzy spadkobiercami powstaje współwłasność, przez co należy rozumieć, iż każdy staje się właścicielem wszystkich przedmiotów wchodzących w skład spadku z osobna. Współwłasność cechuje się więc:</w:t>
      </w:r>
    </w:p>
    <w:p w14:paraId="444AF522" w14:textId="6D7DE6CC" w:rsidR="007B26F0" w:rsidRPr="007B26F0" w:rsidRDefault="007B26F0" w:rsidP="007B26F0">
      <w:pPr>
        <w:spacing w:after="300" w:line="360" w:lineRule="atLeast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– jednością przedmiotu współwłasności,</w:t>
      </w: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br/>
        <w:t>– wielością podmiotów, którym przysługuje to prawo,</w:t>
      </w: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br/>
        <w:t>– niepodzielność tegoż prawa.</w:t>
      </w:r>
    </w:p>
    <w:p w14:paraId="0AAAE675" w14:textId="11A7AADD" w:rsidR="007B26F0" w:rsidRPr="007B26F0" w:rsidRDefault="007B26F0" w:rsidP="007B26F0">
      <w:pPr>
        <w:spacing w:after="300" w:line="360" w:lineRule="atLeast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Z mocy prawa powstaje wspólność i dotyczy całego majątku spadkowego. Nabycie udziału w spadku sprowadza się do tego, że każdy ze spadkobierców ma rachunkowy ułamek nie podzielonej rzeczy. Jak to wygląda w praktyce? Spadkobiercom przysługują atrybuty prawa własności, a więc prawo do całej rzeczy. Każdy ze spadkobierców może więc zamieszkać odziedziczoną nieruchomość, może się zameldować i dokonywać czynności w zakresie zwykłego zarządu, a więc korzystać z rzeczy wspólnej.</w:t>
      </w:r>
    </w:p>
    <w:p w14:paraId="5957DD76" w14:textId="340FE20F" w:rsidR="007B26F0" w:rsidRPr="007B26F0" w:rsidRDefault="007B26F0" w:rsidP="007B26F0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 xml:space="preserve">Taki stan rzeczy będzie występować aż do momentu zniesienia współwłasności. Należy jednak pamiętać, że spadkobiercy potrzebują dokumentu, z którego by wynikało prawo własności do nieruchomości. Chodzi tu o sądowe postanowienie o stwierdzeniu nabycia </w:t>
      </w: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lastRenderedPageBreak/>
        <w:t>spadku bądź notarialne poświadczenie dziedziczenia. Skutkiem działu spadku jest to, że poszczególni spadkobiercy stają się wyłącznymi podmiotami przyznanych im praw majątkowych, np. właścicielami określonych nieruchomości, rzeczy ruchomych, praw.</w:t>
      </w:r>
    </w:p>
    <w:p w14:paraId="1AD7D23C" w14:textId="77777777" w:rsidR="007B26F0" w:rsidRPr="007B26F0" w:rsidRDefault="007B26F0" w:rsidP="007B26F0">
      <w:pPr>
        <w:spacing w:after="300"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Działu spadku i zniesienie współwłasności można dokonać na dwa sposoby, a to umowny bądź sądowy. Samo pojęcie słowa „umowny” jednoznacznie wskazuje, że konieczne jest dojście do porozumienia wszystkich spadkobierców, ich zgoda na dział spadku w formie przez nich wskazanej. Taki dział spadku powinno się dokonać u notariusza, który poświadczy zawarty pomiędzy spadkobiercami układ podziału odziedziczonego majątku, bowiem w myśl obowiązujących przepisów prawa, jeżeli do spadku należy nieruchomość, umowa o dział powinna być zawarta w formie aktu notarialnego. Zatem, jeżeli pomiędzy spadkobiercami istnieje konflikt, pozostaje już tylko droga sądowa. Warto w tym miejscu wspomnieć, że Kodeks cywilny wyróżnia trzy podstawowe sposoby zniesienia współwłasności: podział rzeczy wspólnej, przyznanie rzeczy jednemu ze współwłaścicielowi oraz sprzedaż rzeczy wspólnej i podział uzyskanej w ten sposób kwoty między współwłaścicieli. Trzeba się przygotować na powyższe okoliczności, bowiem to Sąd decyduje, w przypadku braku możliwości dojścia do porozumienia spadkobierców, który sposób zniesienia jest najbardziej odpowiedni w danej sprawie.</w:t>
      </w:r>
    </w:p>
    <w:p w14:paraId="64A8FD85" w14:textId="77777777" w:rsidR="007B26F0" w:rsidRPr="007B26F0" w:rsidRDefault="007B26F0" w:rsidP="007B26F0">
      <w:pPr>
        <w:spacing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Doszło do podziału spadku i zniesienia współwłasności, ale co wówczas dzieje się z hipoteką, która obciąża nieruchomość, która została podzielona? Wpis hipoteczny zabezpieczający wierzytelność nie ogranicza możliwości fizycznego podziału nieruchomości. Przekształci się ona wówczas w hipotekę łączną obciążającą kilka nieruchomości, jeżeli dojdzie do działu nieruchomości na poszczególnych spadkobierców. Po podziale nieruchomość obciążona hipoteką może mieć różną wartość i różną powierzchnię.</w:t>
      </w:r>
    </w:p>
    <w:p w14:paraId="4212BA39" w14:textId="77777777" w:rsidR="007B26F0" w:rsidRPr="007B26F0" w:rsidRDefault="007B26F0" w:rsidP="007B26F0">
      <w:pPr>
        <w:shd w:val="clear" w:color="auto" w:fill="FAFAFA"/>
        <w:spacing w:line="360" w:lineRule="atLeast"/>
        <w:jc w:val="both"/>
        <w:rPr>
          <w:rFonts w:ascii="Montserrat" w:eastAsia="Times New Roman" w:hAnsi="Montserrat" w:cs="Times New Roman"/>
          <w:b/>
          <w:bCs/>
          <w:i/>
          <w:iCs/>
          <w:color w:val="606060"/>
          <w:sz w:val="21"/>
          <w:szCs w:val="21"/>
          <w:lang w:val="pl-PL" w:eastAsia="ru-RU"/>
        </w:rPr>
      </w:pPr>
      <w:r w:rsidRPr="007B26F0">
        <w:rPr>
          <w:rFonts w:ascii="Montserrat" w:eastAsia="Times New Roman" w:hAnsi="Montserrat" w:cs="Times New Roman"/>
          <w:b/>
          <w:bCs/>
          <w:i/>
          <w:iCs/>
          <w:color w:val="606060"/>
          <w:sz w:val="21"/>
          <w:szCs w:val="21"/>
          <w:lang w:val="pl-PL" w:eastAsia="ru-RU"/>
        </w:rPr>
        <w:t>Zwrócić należy uwagę na regulacje zawarte w Ustawie o księgach wieczystych i hipotece, gdzie treść art. 74. brzmi: Wierzyciel hipoteczny może dochodzić zaspokojenia z nieruchomości obciążonej hipoteką, bez względu na ograniczenie odpowiedzialności dłużnika wynikające z prawa spadkowego. Przepis ten wyłącza obowiązywanie ograniczeń odpowiedzialności wynikających z prawa spadkowego wobec wierzytelności zabezpieczonych hipoteką. Zatem, wierzyciel hipoteczny będzie mógł dochodzić zaspokojenia swej wierzytelności z całej nieruchomości, a więc każda wydzielona część nieruchomości wskutek zniesienia współwłasności będzie obciążona hipoteką łączną.</w:t>
      </w:r>
    </w:p>
    <w:p w14:paraId="1314E61B" w14:textId="6E258D8E" w:rsidR="007B26F0" w:rsidRDefault="007B26F0" w:rsidP="007B26F0">
      <w:pPr>
        <w:spacing w:line="360" w:lineRule="atLeast"/>
        <w:jc w:val="both"/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</w:pPr>
      <w:r w:rsidRPr="007B26F0">
        <w:rPr>
          <w:rFonts w:ascii="Montserrat" w:eastAsia="Times New Roman" w:hAnsi="Montserrat" w:cs="Times New Roman"/>
          <w:color w:val="606060"/>
          <w:sz w:val="21"/>
          <w:szCs w:val="21"/>
          <w:lang w:val="pl-PL" w:eastAsia="ru-RU"/>
        </w:rPr>
        <w:t>Nieruchomość z kredytem hipotecznym jest więc zagadnieniem skomplikowanym, jednakże praktyka wykazuje, iż w tej sytuacji najlepiej wychodzą spadkobiercy, którzy wykazują chęć polubownego rozwiązania sporu i w ramach ugody dokonują zniesienia współwłasności.</w:t>
      </w:r>
    </w:p>
    <w:p w14:paraId="31B463B8" w14:textId="64DAD3FA" w:rsidR="007B26F0" w:rsidRPr="007B26F0" w:rsidRDefault="007B26F0" w:rsidP="007B26F0">
      <w:pPr>
        <w:spacing w:line="360" w:lineRule="atLeast"/>
        <w:jc w:val="center"/>
        <w:rPr>
          <w:rFonts w:ascii="Montserrat" w:eastAsia="Times New Roman" w:hAnsi="Montserrat" w:cs="Times New Roman"/>
          <w:color w:val="171717" w:themeColor="background2" w:themeShade="1A"/>
          <w:lang w:val="pl-PL" w:eastAsia="ru-RU"/>
        </w:rPr>
      </w:pPr>
      <w:r w:rsidRPr="007B26F0">
        <w:rPr>
          <w:rFonts w:ascii="Montserrat" w:hAnsi="Montserrat"/>
          <w:color w:val="171717" w:themeColor="background2" w:themeShade="1A"/>
          <w:shd w:val="clear" w:color="auto" w:fill="FFFFFF"/>
        </w:rPr>
        <w:lastRenderedPageBreak/>
        <w:t>By </w:t>
      </w:r>
      <w:proofErr w:type="spellStart"/>
      <w:r w:rsidRPr="007B26F0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begin"/>
      </w:r>
      <w:r w:rsidRPr="007B26F0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instrText xml:space="preserve"> HYPERLINK "https://citihaus.pl/author/admin/" \o "Wpisy, których autorem jest admin" </w:instrText>
      </w:r>
      <w:r w:rsidRPr="007B26F0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separate"/>
      </w:r>
      <w:r w:rsidRPr="007B26F0">
        <w:rPr>
          <w:rStyle w:val="a4"/>
          <w:rFonts w:ascii="Montserrat" w:hAnsi="Montserrat"/>
          <w:color w:val="171717" w:themeColor="background2" w:themeShade="1A"/>
          <w:u w:val="none"/>
        </w:rPr>
        <w:t>admin</w:t>
      </w:r>
      <w:proofErr w:type="spellEnd"/>
      <w:r w:rsidRPr="007B26F0">
        <w:rPr>
          <w:rStyle w:val="fn"/>
          <w:rFonts w:ascii="Montserrat" w:hAnsi="Montserrat"/>
          <w:color w:val="171717" w:themeColor="background2" w:themeShade="1A"/>
          <w:shd w:val="clear" w:color="auto" w:fill="FFFFFF"/>
        </w:rPr>
        <w:fldChar w:fldCharType="end"/>
      </w:r>
      <w:r>
        <w:rPr>
          <w:rStyle w:val="fn"/>
          <w:rFonts w:ascii="Montserrat" w:hAnsi="Montserrat"/>
          <w:color w:val="171717" w:themeColor="background2" w:themeShade="1A"/>
          <w:shd w:val="clear" w:color="auto" w:fill="FFFFFF"/>
          <w:lang w:val="pl-PL"/>
        </w:rPr>
        <w:t xml:space="preserve"> </w:t>
      </w:r>
      <w:r w:rsidRPr="007B26F0">
        <w:rPr>
          <w:rStyle w:val="fusion-inline-sep"/>
          <w:rFonts w:ascii="Montserrat" w:hAnsi="Montserrat"/>
          <w:b/>
          <w:bCs/>
          <w:color w:val="171717" w:themeColor="background2" w:themeShade="1A"/>
          <w:shd w:val="clear" w:color="auto" w:fill="FFFFFF"/>
        </w:rPr>
        <w:t>|</w:t>
      </w:r>
      <w:r>
        <w:rPr>
          <w:rStyle w:val="fusion-inline-sep"/>
          <w:rFonts w:ascii="Montserrat" w:hAnsi="Montserrat"/>
          <w:color w:val="171717" w:themeColor="background2" w:themeShade="1A"/>
          <w:shd w:val="clear" w:color="auto" w:fill="FFFFFF"/>
          <w:lang w:val="pl-PL"/>
        </w:rPr>
        <w:t xml:space="preserve"> </w:t>
      </w:r>
      <w:r w:rsidRPr="007B26F0">
        <w:rPr>
          <w:rFonts w:ascii="Montserrat" w:hAnsi="Montserrat"/>
          <w:color w:val="171717" w:themeColor="background2" w:themeShade="1A"/>
          <w:shd w:val="clear" w:color="auto" w:fill="FFFFFF"/>
        </w:rPr>
        <w:t xml:space="preserve">4 </w:t>
      </w:r>
      <w:proofErr w:type="spellStart"/>
      <w:r w:rsidRPr="007B26F0">
        <w:rPr>
          <w:rFonts w:ascii="Montserrat" w:hAnsi="Montserrat"/>
          <w:color w:val="171717" w:themeColor="background2" w:themeShade="1A"/>
          <w:shd w:val="clear" w:color="auto" w:fill="FFFFFF"/>
        </w:rPr>
        <w:t>stycznia</w:t>
      </w:r>
      <w:proofErr w:type="spellEnd"/>
      <w:r w:rsidRPr="007B26F0">
        <w:rPr>
          <w:rFonts w:ascii="Montserrat" w:hAnsi="Montserrat"/>
          <w:color w:val="171717" w:themeColor="background2" w:themeShade="1A"/>
          <w:shd w:val="clear" w:color="auto" w:fill="FFFFFF"/>
        </w:rPr>
        <w:t>, 2019</w:t>
      </w:r>
    </w:p>
    <w:sectPr w:rsidR="007B26F0" w:rsidRPr="007B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F0"/>
    <w:rsid w:val="00044901"/>
    <w:rsid w:val="00743709"/>
    <w:rsid w:val="007B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93EA"/>
  <w15:chartTrackingRefBased/>
  <w15:docId w15:val="{879530F9-9B31-4E9B-BDCE-E2D68CE3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7B26F0"/>
  </w:style>
  <w:style w:type="character" w:styleId="a4">
    <w:name w:val="Hyperlink"/>
    <w:basedOn w:val="a0"/>
    <w:uiPriority w:val="99"/>
    <w:semiHidden/>
    <w:unhideWhenUsed/>
    <w:rsid w:val="007B26F0"/>
    <w:rPr>
      <w:color w:val="0000FF"/>
      <w:u w:val="single"/>
    </w:rPr>
  </w:style>
  <w:style w:type="character" w:customStyle="1" w:styleId="fusion-inline-sep">
    <w:name w:val="fusion-inline-sep"/>
    <w:basedOn w:val="a0"/>
    <w:rsid w:val="007B2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192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9643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6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5" w:color="0861B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0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333633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624187545">
              <w:marLeft w:val="-351"/>
              <w:marRight w:val="-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2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9485">
                      <w:marLeft w:val="350"/>
                      <w:marRight w:val="4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3304820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30" w:color="EAE9E9"/>
            <w:bottom w:val="single" w:sz="2" w:space="0" w:color="EAE9E9"/>
            <w:right w:val="single" w:sz="2" w:space="0" w:color="EAE9E9"/>
          </w:divBdr>
          <w:divsChild>
            <w:div w:id="1777018787">
              <w:marLeft w:val="-339"/>
              <w:marRight w:val="-33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129">
                      <w:marLeft w:val="338"/>
                      <w:marRight w:val="451"/>
                      <w:marTop w:val="0"/>
                      <w:marBottom w:val="0"/>
                      <w:divBdr>
                        <w:top w:val="none" w:sz="0" w:space="0" w:color="auto"/>
                        <w:left w:val="single" w:sz="36" w:space="23" w:color="0861B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734499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417702035">
              <w:marLeft w:val="-351"/>
              <w:marRight w:val="-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716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2229">
                      <w:marLeft w:val="350"/>
                      <w:marRight w:val="4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Balandin</dc:creator>
  <cp:keywords/>
  <dc:description/>
  <cp:lastModifiedBy>Vitalii Balandin</cp:lastModifiedBy>
  <cp:revision>1</cp:revision>
  <dcterms:created xsi:type="dcterms:W3CDTF">2021-07-07T08:51:00Z</dcterms:created>
  <dcterms:modified xsi:type="dcterms:W3CDTF">2021-07-07T08:52:00Z</dcterms:modified>
</cp:coreProperties>
</file>