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89EF" w14:textId="088889AE" w:rsidR="00384566" w:rsidRDefault="00384566">
      <w:r>
        <w:rPr>
          <w:rFonts w:ascii="DM Sans" w:hAnsi="DM Sans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233B4342" wp14:editId="791680BE">
            <wp:simplePos x="0" y="0"/>
            <wp:positionH relativeFrom="page">
              <wp:align>center</wp:align>
            </wp:positionH>
            <wp:positionV relativeFrom="page">
              <wp:posOffset>117475</wp:posOffset>
            </wp:positionV>
            <wp:extent cx="10287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6CF0F" w14:textId="497419E1" w:rsidR="00384566" w:rsidRDefault="00384566">
      <w:r>
        <w:rPr>
          <w:noProof/>
        </w:rPr>
        <w:drawing>
          <wp:anchor distT="0" distB="0" distL="114300" distR="114300" simplePos="0" relativeHeight="251660288" behindDoc="0" locked="0" layoutInCell="1" allowOverlap="1" wp14:anchorId="73E4E890" wp14:editId="1582061E">
            <wp:simplePos x="0" y="0"/>
            <wp:positionH relativeFrom="page">
              <wp:align>center</wp:align>
            </wp:positionH>
            <wp:positionV relativeFrom="paragraph">
              <wp:posOffset>182880</wp:posOffset>
            </wp:positionV>
            <wp:extent cx="4030980" cy="2577633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257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A9C4C5" w14:textId="218FFAC9" w:rsidR="00384566" w:rsidRDefault="00384566"/>
    <w:p w14:paraId="03ED5637" w14:textId="77777777" w:rsidR="00384566" w:rsidRDefault="00384566"/>
    <w:p w14:paraId="07D49078" w14:textId="77777777" w:rsidR="00384566" w:rsidRDefault="00384566"/>
    <w:p w14:paraId="08331DE7" w14:textId="77777777" w:rsidR="00384566" w:rsidRDefault="00384566"/>
    <w:p w14:paraId="5252E10D" w14:textId="77777777" w:rsidR="00384566" w:rsidRDefault="00384566"/>
    <w:p w14:paraId="564EA030" w14:textId="77777777" w:rsidR="00384566" w:rsidRDefault="00384566"/>
    <w:p w14:paraId="19A6A26F" w14:textId="599D1F0F" w:rsidR="00384566" w:rsidRDefault="00384566"/>
    <w:p w14:paraId="5A44B616" w14:textId="77777777" w:rsidR="00384566" w:rsidRDefault="00384566"/>
    <w:p w14:paraId="3CFDEFD7" w14:textId="77777777" w:rsidR="00384566" w:rsidRDefault="00384566"/>
    <w:p w14:paraId="7F121DE5" w14:textId="66313343" w:rsidR="00384566" w:rsidRPr="00384566" w:rsidRDefault="00384566" w:rsidP="00384566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</w:pPr>
      <w:r w:rsidRPr="00384566"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  <w:t>Umorzenie egzekucji, a umorzenie długu.</w:t>
      </w:r>
    </w:p>
    <w:p w14:paraId="7511E0E9" w14:textId="0471CBC1" w:rsidR="00384566" w:rsidRPr="00384566" w:rsidRDefault="00384566" w:rsidP="00384566">
      <w:pPr>
        <w:spacing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28 Marca, 2018r.</w:t>
      </w:r>
    </w:p>
    <w:p w14:paraId="49EE3B43" w14:textId="616FE878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Postępowanie egzekucyjne najczęściej charakteryzuje się tym, iż dochodzenie wierzytelności przez komornika sądowego na wniosek wierzyciela trwa dłużej, aniżeli polubowne dochodzenie należności. Zdarza się tak, iż w toku długoletniej egzekucji mogą zaistnieć niespodziewane sytuacje, które uniemożliwią dalsze prowadzenie postępowania.</w:t>
      </w:r>
    </w:p>
    <w:p w14:paraId="5364537A" w14:textId="77777777" w:rsidR="00384566" w:rsidRPr="00384566" w:rsidRDefault="00384566" w:rsidP="00384566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Postępowanie egzekucyjne można umorzyć w sytuacji, kiedy to pojawiła się trwała przeszkoda w dalszym prowadzeniu egzekucji, czyli taka, która powoduje, iż dalsze prowadzenie postępowania jest po prostu niemożliwe lub niecelowe.</w:t>
      </w:r>
    </w:p>
    <w:p w14:paraId="4AE35CDD" w14:textId="2B223B27" w:rsidR="00384566" w:rsidRPr="00384566" w:rsidRDefault="00384566" w:rsidP="00384566">
      <w:pPr>
        <w:shd w:val="clear" w:color="auto" w:fill="FAFAFA"/>
        <w:spacing w:line="360" w:lineRule="atLeast"/>
        <w:jc w:val="both"/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  <w:t>“Istotą umorzenia jest przerwanie postępowania, uchylenie dokonanych czynności egzekucyjnych oraz rozstrzygnięcie o dalszym nieprowadzeniu postępowania. Instytucja umorzenia postępowania egzekucyjnego ma na celu jego zakończenie z przyczyn natury formalnej, gdy w danej, konkretnej sytuacji zaistniałej w jego toku wykonanie obowiązku przez zobowiązanego jest niemożliwe lub niedopuszczalne” (wyrok NSA z dnia 17 października 2006 r., sygn. akt I OSK 804/2006).</w:t>
      </w:r>
    </w:p>
    <w:p w14:paraId="0F6E798F" w14:textId="7409C217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Warto wspomnieć, że przesłanki umorzenia postępowania egzekucyjnego są w znacznej części następstwem pojawienia się przyczyn niedopuszczalności postępowania egzekucyjnego (P.Pietrzasz, Komentarz do art. 59 ustawy o postępowaniu egzekucyjnym w administracji, publ. Lex 2010).</w:t>
      </w:r>
    </w:p>
    <w:p w14:paraId="1C3A0C50" w14:textId="269AF43F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lastRenderedPageBreak/>
        <w:t>Podobnie jak w przypadku zawieszenia postępowania, możemy wyróżnić dwa tryby, w których może dojść do wydania postanowienia w tym przedmiocie, a mianowicie: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– z urzędu,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– na wniosek.</w:t>
      </w:r>
    </w:p>
    <w:p w14:paraId="79F716BA" w14:textId="77777777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Zgodnie z treścią art. 824 § 1 k.p.c. . Postępowanie umarza się w całości lub części z urzędu:</w:t>
      </w:r>
    </w:p>
    <w:p w14:paraId="172FCA38" w14:textId="6A50D0AF" w:rsidR="00384566" w:rsidRPr="00384566" w:rsidRDefault="00384566" w:rsidP="00384566">
      <w:pPr>
        <w:spacing w:after="300"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1) Jeżeli okaże się, że egzekucja nie należy do organów sądowych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2) Jeżeli wierzyciel lub dłużnik nie ma zdolności sądowej albo gdy egzekucja ze względu na jej przedmiot lub na osobę dłużnika jest niedopuszczalna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3) Jeżeli jest oczywiste, że z egzekucji nie uzyska się sumy wyższej od kosztów egzekucyjnych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4) Jeżeli wierzyciel w ciągu sześciu miesięcy nie dokonał czynności potrzebnej do dalszego prowadzenia postępowania lub nie zażądał podjęcia zawieszonego postępowania.</w:t>
      </w:r>
    </w:p>
    <w:p w14:paraId="1F6D8882" w14:textId="072A1911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Najczęstszą przyczyną, kiedy dochodzi do umorzenia egzekucji z urzędu jest sytuacja, w której egzekucja świadczeń pieniężnych jest bezskuteczna, co oznacza, iż dłużnik nie posiada majątku, który pozwoliłby na zaspokojenie roszczeń wierzyciela. Prowadzenie egzekucji w takim przypadku jest bezcelowe.</w:t>
      </w:r>
    </w:p>
    <w:p w14:paraId="481AA59D" w14:textId="55E63DBD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Jednolicie przyjmowane jest w orzecznictwie, że postanowienie sądu o umorzeniu postępowania egzekucyjnego, które uległo umorzeniu z mocy prawa (art. 823 k.p.c.), jest w istocie postanowieniem stwierdzającym to umorzenie (uchwała Sądu Najwyższego z dnia 16maja 1996 r., III CZP 44/96, OSNC z 1996, nr 6, poz. 117), bowiem umorzenia, z przyczyn wskazanych w art. 824 § 1 k.p.c. zaistniały z chwilą upływu wskazanego w ustawie terminu, chociażby nie doszło do wydania postanowienia w tym przedmiocie przez komornika sądowego, a nawet bez potrzeby jego wydania (wyrok SN z 20 maja 2015 r., sygn. akt I CNP 28/14).</w:t>
      </w:r>
    </w:p>
    <w:p w14:paraId="41504F54" w14:textId="19189B60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Umorzenie postępowania na wniosek może nastąpić z kolei, kiedy wystąpi z tym wierzyciel bądź dłużnik. Stosownie do treści art. 825. k.p.c. Organ egzekucyjny umorzy postępowanie w całości lub części na wniosek:</w:t>
      </w:r>
    </w:p>
    <w:p w14:paraId="41001472" w14:textId="3455C9DE" w:rsidR="00384566" w:rsidRPr="00384566" w:rsidRDefault="00384566" w:rsidP="00384566">
      <w:pPr>
        <w:spacing w:after="300"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1) Jeżeli tego zażąda wierzyciel; jednakże w sprawach, w których egzekucję wszczęto z urzędu lub na żądanie uprawnionego organu, wniosek wierzyciela o umorzenie postępowania wymaga zgody sądu lub uprawnionego organu, który zażądał wszczęcia egzekucji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2) Jeżeli prawomocnym orzeczeniem tytuł wykonawczy został pozbawiony wykonalności albo orzeczenie, na którym oparto klauzulę wykonalności zostało uchylone lub utraciło moc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lastRenderedPageBreak/>
        <w:t>3) Jeżeli egzekucję skierowano przeciwko osobie, która według klauzuli wykonalności nie jest dłużnikiem i która sprzeciwiła się prowadzeniu egzekucji, albo jeżeli prowadzenie egzekucji pozostaje z innych powodów w oczywistej sprzeczności z treścią tytułu wykonawczego</w:t>
      </w: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4) Jeżeli wierzyciel jest w posiadaniu zastawu zabezpieczającego pełne zaspokojenie egzekwowanego roszczenia, chyba że egzekucja skierowana jest do przedmiotu zastawu.</w:t>
      </w:r>
    </w:p>
    <w:p w14:paraId="3B1D2578" w14:textId="77777777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Przykładowo, według art. 825 pkt 3 kpc umorzenie zachodzi w sytuacji, gdy prowadzenie egzekucji jest z innych powodów oczywiście sprzeczne z treścią tytułu wykonawczego. Przesłanka taka wystąpi, gdy egzekucja została skierowana do rzeczy, która nie jest identyczna z ruchomością (art.1041 kpc) lub nieruchomością (art. 1046 kpc) opisaną w tytule, bądź też do rzeczy, z której dłużnik nie ponosi odpowiedzialności, np. z majątku osobistego małżonka dłużnika, przeciwko któremu została nadana klauzula wykonalności z ograniczeniem wynikającym z art. 787 kpc, lub z majątku spadkobiercy, który jeszcze spadku nie przyjął i ponosi odpowiedzialność tylko ze spadku (art. 1030 kpc) (wyrok Sądu Okręgowego w Słupsku z dnia 2 grudnia 2015 r. sygn. akt IV Cz 675/15).</w:t>
      </w:r>
    </w:p>
    <w:p w14:paraId="68332E14" w14:textId="77777777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W przypadku umorzenia egzekucji komornik sądowy wydaje stosowne postanowienie, w którym wskazuje podstawę prawną w tym przedmiocie. Należy jednak zaznaczyć, iż umorzenie postępowania nie oznacza, że dług również został umorzony. Skutkiem wydania postanowienia o umorzeniu jest uchylenie dokonanych w toku czynności egzekucyjnych. Tytuł wykonawczy, na podstawie którego wszczęto egzekucję organ zwraca wierzycielowi z informacją o wyniku postępowania, którym to dokumentem wierzyciel może w dalszym ciągu dysponować i wszcząć ponownie egzekucję.</w:t>
      </w:r>
    </w:p>
    <w:p w14:paraId="0E7BAC08" w14:textId="77777777" w:rsidR="00384566" w:rsidRPr="00384566" w:rsidRDefault="00384566" w:rsidP="00384566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Komornik ustala ponadto wysokość kosztów egzekucji i obciąża nimi, co do zasady, dłużnika. Warto przytoczyć stanowisko Sądu Najwyższego wyrażone w uchwale z dnia 8 marca 2013 r. (sygn. akt III CZP 1/13), iż Umorzenie postępowania egzekucyjnego na wniosek wierzyciela powoduje uchylenie wydanego w jego toku postanowienia o przyznaniu wierzycielowi od dłużnika kosztów zastępstwa prawnego (art. 826 k.p.c.).</w:t>
      </w:r>
    </w:p>
    <w:p w14:paraId="39835E90" w14:textId="77777777" w:rsidR="00384566" w:rsidRPr="00384566" w:rsidRDefault="00384566" w:rsidP="00384566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384566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Zatem, otrzymując postanowienie o umorzeniu postępowania należy pamiętać, że jeżeli należność, której spłaty domaga się wierzyciel jest np. nieprzedawniona to w każdym czasie możemy się spodziewać ponownej korespondencji z informacją o wszczęciu postępowania egzekucyjnego.</w:t>
      </w:r>
    </w:p>
    <w:p w14:paraId="24FFDBAD" w14:textId="6F56037D" w:rsidR="00827E44" w:rsidRDefault="00384566"/>
    <w:p w14:paraId="51D0C606" w14:textId="4A41A07D" w:rsidR="00384566" w:rsidRPr="00384566" w:rsidRDefault="00384566" w:rsidP="00384566">
      <w:pPr>
        <w:jc w:val="center"/>
        <w:rPr>
          <w:color w:val="171717" w:themeColor="background2" w:themeShade="1A"/>
        </w:rPr>
      </w:pPr>
      <w:r w:rsidRPr="00384566">
        <w:rPr>
          <w:rFonts w:ascii="Montserrat" w:hAnsi="Montserrat"/>
          <w:color w:val="171717" w:themeColor="background2" w:themeShade="1A"/>
          <w:shd w:val="clear" w:color="auto" w:fill="FFFFFF"/>
        </w:rPr>
        <w:t>By </w:t>
      </w:r>
      <w:proofErr w:type="spellStart"/>
      <w:r w:rsidRPr="00384566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begin"/>
      </w:r>
      <w:r w:rsidRPr="00384566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instrText xml:space="preserve"> HYPERLINK "https://citihaus.pl/author/admin/" \o "Wpisy, których autorem jest admin" </w:instrText>
      </w:r>
      <w:r w:rsidRPr="00384566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separate"/>
      </w:r>
      <w:r w:rsidRPr="00384566">
        <w:rPr>
          <w:rStyle w:val="a4"/>
          <w:rFonts w:ascii="Montserrat" w:hAnsi="Montserrat"/>
          <w:color w:val="171717" w:themeColor="background2" w:themeShade="1A"/>
          <w:u w:val="none"/>
        </w:rPr>
        <w:t>admin</w:t>
      </w:r>
      <w:proofErr w:type="spellEnd"/>
      <w:r w:rsidRPr="00384566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end"/>
      </w:r>
      <w:r w:rsidRPr="00384566">
        <w:rPr>
          <w:rStyle w:val="fn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384566">
        <w:rPr>
          <w:rStyle w:val="fusion-inline-sep"/>
          <w:rFonts w:ascii="Montserrat" w:hAnsi="Montserrat"/>
          <w:b/>
          <w:bCs/>
          <w:color w:val="171717" w:themeColor="background2" w:themeShade="1A"/>
          <w:shd w:val="clear" w:color="auto" w:fill="FFFFFF"/>
        </w:rPr>
        <w:t>|</w:t>
      </w:r>
      <w:r w:rsidRPr="00384566">
        <w:rPr>
          <w:rStyle w:val="fusion-inline-sep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384566">
        <w:rPr>
          <w:rFonts w:ascii="Montserrat" w:hAnsi="Montserrat"/>
          <w:color w:val="171717" w:themeColor="background2" w:themeShade="1A"/>
          <w:shd w:val="clear" w:color="auto" w:fill="FFFFFF"/>
        </w:rPr>
        <w:t xml:space="preserve">4 </w:t>
      </w:r>
      <w:proofErr w:type="spellStart"/>
      <w:r w:rsidRPr="00384566">
        <w:rPr>
          <w:rFonts w:ascii="Montserrat" w:hAnsi="Montserrat"/>
          <w:color w:val="171717" w:themeColor="background2" w:themeShade="1A"/>
          <w:shd w:val="clear" w:color="auto" w:fill="FFFFFF"/>
        </w:rPr>
        <w:t>stycznia</w:t>
      </w:r>
      <w:proofErr w:type="spellEnd"/>
      <w:r w:rsidRPr="00384566">
        <w:rPr>
          <w:rFonts w:ascii="Montserrat" w:hAnsi="Montserrat"/>
          <w:color w:val="171717" w:themeColor="background2" w:themeShade="1A"/>
          <w:shd w:val="clear" w:color="auto" w:fill="FFFFFF"/>
        </w:rPr>
        <w:t>, 2019</w:t>
      </w:r>
    </w:p>
    <w:sectPr w:rsidR="00384566" w:rsidRPr="0038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66"/>
    <w:rsid w:val="00044901"/>
    <w:rsid w:val="00384566"/>
    <w:rsid w:val="007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90F3"/>
  <w15:chartTrackingRefBased/>
  <w15:docId w15:val="{DB9CF5D2-F71C-4AFC-8EE6-04F6A7F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4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384566"/>
  </w:style>
  <w:style w:type="character" w:styleId="a4">
    <w:name w:val="Hyperlink"/>
    <w:basedOn w:val="a0"/>
    <w:uiPriority w:val="99"/>
    <w:semiHidden/>
    <w:unhideWhenUsed/>
    <w:rsid w:val="00384566"/>
    <w:rPr>
      <w:color w:val="0000FF"/>
      <w:u w:val="single"/>
    </w:rPr>
  </w:style>
  <w:style w:type="character" w:customStyle="1" w:styleId="fusion-inline-sep">
    <w:name w:val="fusion-inline-sep"/>
    <w:basedOn w:val="a0"/>
    <w:rsid w:val="003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99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78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5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63961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185360062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264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160386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30" w:color="EAE9E9"/>
            <w:bottom w:val="single" w:sz="2" w:space="0" w:color="EAE9E9"/>
            <w:right w:val="single" w:sz="2" w:space="0" w:color="EAE9E9"/>
          </w:divBdr>
          <w:divsChild>
            <w:div w:id="2080518102">
              <w:marLeft w:val="-339"/>
              <w:marRight w:val="-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3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1198">
                      <w:marLeft w:val="338"/>
                      <w:marRight w:val="451"/>
                      <w:marTop w:val="0"/>
                      <w:marBottom w:val="0"/>
                      <w:divBdr>
                        <w:top w:val="none" w:sz="0" w:space="0" w:color="auto"/>
                        <w:left w:val="single" w:sz="36" w:space="23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99665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635375262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5634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Balandin</dc:creator>
  <cp:keywords/>
  <dc:description/>
  <cp:lastModifiedBy>Vitalii Balandin</cp:lastModifiedBy>
  <cp:revision>1</cp:revision>
  <dcterms:created xsi:type="dcterms:W3CDTF">2021-07-07T08:17:00Z</dcterms:created>
  <dcterms:modified xsi:type="dcterms:W3CDTF">2021-07-07T08:19:00Z</dcterms:modified>
</cp:coreProperties>
</file>